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left="20" w:right="7400" w:hanging="0"/>
        <w:rPr>
          <w:rFonts w:eastAsia="Arial" w:cs="Arial"/>
          <w:b/>
          <w:b/>
          <w:color w:val="000000"/>
          <w:sz w:val="28"/>
        </w:rPr>
      </w:pPr>
      <w:r>
        <w:rPr>
          <w:rFonts w:eastAsia="Arial" w:cs="Arial"/>
          <w:b/>
          <w:color w:val="000000"/>
          <w:sz w:val="28"/>
        </w:rPr>
        <w:drawing>
          <wp:anchor behindDoc="0" distT="0" distB="0" distL="0" distR="0" simplePos="0" locked="0" layoutInCell="0" allowOverlap="1" relativeHeight="2">
            <wp:simplePos x="0" y="0"/>
            <wp:positionH relativeFrom="column">
              <wp:posOffset>1565275</wp:posOffset>
            </wp:positionH>
            <wp:positionV relativeFrom="paragraph">
              <wp:posOffset>193675</wp:posOffset>
            </wp:positionV>
            <wp:extent cx="2505075" cy="1221740"/>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2505075" cy="1221740"/>
                    </a:xfrm>
                    <a:prstGeom prst="rect">
                      <a:avLst/>
                    </a:prstGeom>
                  </pic:spPr>
                </pic:pic>
              </a:graphicData>
            </a:graphic>
          </wp:anchor>
        </w:drawing>
      </w:r>
    </w:p>
    <w:p>
      <w:pPr>
        <w:pStyle w:val="Normal"/>
        <w:ind w:left="20" w:right="7400" w:hanging="0"/>
        <w:rPr>
          <w:rFonts w:eastAsia="Arial" w:cs="Arial"/>
          <w:b/>
          <w:b/>
          <w:color w:val="000000"/>
          <w:sz w:val="28"/>
        </w:rPr>
      </w:pPr>
      <w:r>
        <w:rPr>
          <w:rFonts w:eastAsia="Arial" w:cs="Arial"/>
          <w:b/>
          <w:color w:val="000000"/>
          <w:sz w:val="28"/>
        </w:rPr>
      </w:r>
    </w:p>
    <w:p>
      <w:pPr>
        <w:pStyle w:val="Normal"/>
        <w:ind w:left="20" w:right="7400" w:hanging="0"/>
        <w:rPr>
          <w:rFonts w:eastAsia="Arial" w:cs="Arial"/>
          <w:b/>
          <w:b/>
          <w:color w:val="000000"/>
          <w:sz w:val="28"/>
        </w:rPr>
      </w:pPr>
      <w:r>
        <w:rPr>
          <w:rFonts w:eastAsia="Arial" w:cs="Arial"/>
          <w:b/>
          <w:color w:val="000000"/>
          <w:sz w:val="28"/>
        </w:rPr>
      </w:r>
    </w:p>
    <w:p>
      <w:pPr>
        <w:pStyle w:val="Normal"/>
        <w:bidi w:val="0"/>
        <w:ind w:left="20" w:right="7400" w:hanging="0"/>
        <w:jc w:val="center"/>
        <w:rPr>
          <w:rFonts w:eastAsia="Arial" w:cs="Arial"/>
          <w:b/>
          <w:b/>
          <w:color w:val="000000"/>
          <w:sz w:val="28"/>
        </w:rPr>
      </w:pPr>
      <w:r>
        <w:rPr>
          <w:rFonts w:eastAsia="Arial" w:cs="Arial"/>
          <w:b/>
          <w:color w:val="000000"/>
          <w:sz w:val="28"/>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jc w:val="left"/>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tbl>
      <w:tblPr>
        <w:tblW w:w="9201" w:type="dxa"/>
        <w:jc w:val="left"/>
        <w:tblInd w:w="9" w:type="dxa"/>
        <w:tblLayout w:type="fixed"/>
        <w:tblCellMar>
          <w:top w:w="0" w:type="dxa"/>
          <w:left w:w="0" w:type="dxa"/>
          <w:bottom w:w="0" w:type="dxa"/>
          <w:right w:w="15" w:type="dxa"/>
        </w:tblCellMar>
      </w:tblPr>
      <w:tblGrid>
        <w:gridCol w:w="9201"/>
      </w:tblGrid>
      <w:tr>
        <w:trPr/>
        <w:tc>
          <w:tcPr>
            <w:tcW w:w="9201" w:type="dxa"/>
            <w:tcBorders/>
            <w:shd w:color="auto" w:fill="FFFFFF"/>
          </w:tcPr>
          <w:p>
            <w:pPr>
              <w:pStyle w:val="Normal"/>
              <w:widowControl w:val="false"/>
              <w:tabs>
                <w:tab w:val="clear" w:pos="709"/>
              </w:tabs>
              <w:spacing w:lineRule="atLeast" w:line="0"/>
              <w:ind w:left="18" w:right="87" w:hanging="0"/>
              <w:jc w:val="center"/>
              <w:rPr>
                <w:b/>
                <w:b/>
                <w:bCs/>
                <w:sz w:val="36"/>
                <w:szCs w:val="36"/>
              </w:rPr>
            </w:pPr>
            <w:r>
              <w:rPr>
                <w:b/>
                <w:bCs/>
                <w:color w:val="404040"/>
                <w:sz w:val="36"/>
                <w:szCs w:val="36"/>
              </w:rPr>
              <w:t>Réalisation de diagnostics des réseaux humides sur le territoire de Saint-Brieuc Armor Agglomération</w:t>
            </w:r>
          </w:p>
        </w:tc>
      </w:tr>
    </w:tbl>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widowControl/>
        <w:suppressAutoHyphens w:val="true"/>
        <w:bidi w:val="0"/>
        <w:spacing w:lineRule="auto" w:line="240" w:before="0" w:after="0"/>
        <w:ind w:left="0" w:right="-113" w:hanging="0"/>
        <w:jc w:val="center"/>
        <w:rPr>
          <w:rFonts w:ascii="Arial" w:hAnsi="Arial"/>
          <w:b w:val="false"/>
          <w:b w:val="false"/>
          <w:bCs w:val="false"/>
          <w:sz w:val="28"/>
          <w:szCs w:val="28"/>
        </w:rPr>
      </w:pPr>
      <w:r>
        <w:rPr>
          <w:b w:val="false"/>
          <w:bCs w:val="false"/>
          <w:sz w:val="28"/>
          <w:szCs w:val="28"/>
        </w:rPr>
        <w:t>Consultation n°2025009</w:t>
      </w:r>
    </w:p>
    <w:p>
      <w:pPr>
        <w:pStyle w:val="Normal"/>
        <w:widowControl/>
        <w:suppressAutoHyphens w:val="true"/>
        <w:bidi w:val="0"/>
        <w:spacing w:lineRule="auto" w:line="240" w:before="0" w:after="0"/>
        <w:ind w:left="0" w:right="-113" w:hanging="0"/>
        <w:jc w:val="center"/>
        <w:rPr>
          <w:rFonts w:ascii="Arial" w:hAnsi="Arial"/>
          <w:color w:val="000000"/>
        </w:rPr>
      </w:pPr>
      <w:r>
        <w:rPr>
          <w:color w:val="000000"/>
        </w:rPr>
      </w:r>
    </w:p>
    <w:p>
      <w:pPr>
        <w:pStyle w:val="Normal"/>
        <w:widowControl/>
        <w:suppressAutoHyphens w:val="true"/>
        <w:bidi w:val="0"/>
        <w:spacing w:lineRule="auto" w:line="240" w:before="0" w:after="0"/>
        <w:ind w:left="0" w:right="-113" w:hanging="0"/>
        <w:jc w:val="center"/>
        <w:rPr>
          <w:rFonts w:ascii="Arial" w:hAnsi="Arial"/>
          <w:color w:val="000000"/>
        </w:rPr>
      </w:pPr>
      <w:r>
        <w:rPr>
          <w:color w:val="000000"/>
        </w:rPr>
      </w:r>
    </w:p>
    <w:p>
      <w:pPr>
        <w:pStyle w:val="Normal"/>
        <w:ind w:left="20" w:right="7400" w:hanging="0"/>
        <w:rPr>
          <w:rFonts w:ascii="Calibri" w:hAnsi="Calibri" w:eastAsia="Arial" w:cs="Arial"/>
          <w:b/>
          <w:b/>
          <w:color w:val="000000"/>
          <w:sz w:val="28"/>
        </w:rPr>
      </w:pPr>
      <w:r>
        <w:rPr>
          <w:rFonts w:eastAsia="Arial" w:cs="Arial" w:ascii="Calibri" w:hAnsi="Calibri"/>
          <w:b/>
          <w:color w:val="000000"/>
          <w:sz w:val="28"/>
        </w:rPr>
      </w:r>
    </w:p>
    <w:p>
      <w:pPr>
        <w:pStyle w:val="Normal"/>
        <w:shd w:val="clear" w:color="auto" w:fill="8DB3E2"/>
        <w:jc w:val="center"/>
        <w:rPr>
          <w:rFonts w:ascii="Arial" w:hAnsi="Arial"/>
          <w:u w:val="single"/>
        </w:rPr>
      </w:pPr>
      <w:r>
        <w:rPr>
          <w:rFonts w:eastAsia="Arial" w:cs="Arial"/>
          <w:b/>
          <w:color w:val="000000"/>
          <w:sz w:val="28"/>
          <w:u w:val="single"/>
        </w:rPr>
        <w:t>MEMOIRE CADRE DE REPONSE</w:t>
      </w:r>
    </w:p>
    <w:p>
      <w:pPr>
        <w:pStyle w:val="Normal"/>
        <w:shd w:val="clear" w:color="auto" w:fill="8DB3E2"/>
        <w:jc w:val="center"/>
        <w:rPr>
          <w:rFonts w:ascii="Arial" w:hAnsi="Arial"/>
        </w:rPr>
      </w:pPr>
      <w:r>
        <w:rPr/>
      </w:r>
    </w:p>
    <w:p>
      <w:pPr>
        <w:pStyle w:val="Normal"/>
        <w:shd w:val="clear" w:color="auto" w:fill="8DB3E2"/>
        <w:jc w:val="center"/>
        <w:rPr>
          <w:rFonts w:ascii="Arial" w:hAnsi="Arial"/>
          <w:b w:val="false"/>
          <w:b w:val="false"/>
          <w:bCs w:val="false"/>
        </w:rPr>
      </w:pPr>
      <w:r>
        <w:rPr>
          <w:rFonts w:eastAsia="Arial" w:cs="Arial"/>
          <w:b w:val="false"/>
          <w:bCs w:val="false"/>
          <w:color w:val="000000"/>
          <w:sz w:val="28"/>
        </w:rPr>
        <w:t xml:space="preserve">(À renseigner par le candidat et à remettre à l’appui de son offre </w:t>
      </w:r>
    </w:p>
    <w:p>
      <w:pPr>
        <w:pStyle w:val="Normal"/>
        <w:shd w:val="clear" w:color="auto" w:fill="8DB3E2"/>
        <w:jc w:val="center"/>
        <w:rPr>
          <w:rFonts w:ascii="Arial" w:hAnsi="Arial"/>
          <w:b w:val="false"/>
          <w:b w:val="false"/>
          <w:bCs w:val="false"/>
        </w:rPr>
      </w:pPr>
      <w:r>
        <w:rPr>
          <w:rFonts w:eastAsia="Arial" w:cs="Arial"/>
          <w:b w:val="false"/>
          <w:bCs w:val="false"/>
          <w:color w:val="000000"/>
          <w:sz w:val="28"/>
        </w:rPr>
        <w:t>sous peine d’irrégularité de celle-ci)</w:t>
      </w:r>
    </w:p>
    <w:p>
      <w:pPr>
        <w:pStyle w:val="Normal"/>
        <w:tabs>
          <w:tab w:val="clear" w:pos="709"/>
          <w:tab w:val="left" w:pos="1590" w:leader="none"/>
        </w:tabs>
        <w:spacing w:lineRule="exact" w:line="240" w:before="0" w:after="220"/>
        <w:rPr>
          <w:rFonts w:ascii="Calibri" w:hAnsi="Calibri"/>
        </w:rPr>
      </w:pPr>
      <w:r>
        <w:rPr>
          <w:rFonts w:cs="Arial" w:ascii="Calibri" w:hAnsi="Calibri"/>
        </w:rPr>
        <w:tab/>
      </w:r>
    </w:p>
    <w:p>
      <w:pPr>
        <w:pStyle w:val="Normal"/>
        <w:widowControl/>
        <w:suppressAutoHyphens w:val="true"/>
        <w:bidi w:val="0"/>
        <w:spacing w:lineRule="auto" w:line="240" w:before="0" w:after="0"/>
        <w:ind w:left="0" w:right="-113" w:hanging="0"/>
        <w:jc w:val="center"/>
        <w:rPr>
          <w:rFonts w:ascii="Calibri" w:hAnsi="Calibri"/>
        </w:rPr>
      </w:pPr>
      <w:r>
        <w:rPr>
          <w:rFonts w:ascii="Calibri" w:hAnsi="Calibri"/>
        </w:rPr>
      </w:r>
    </w:p>
    <w:p>
      <w:pPr>
        <w:pStyle w:val="Normal"/>
        <w:widowControl/>
        <w:suppressAutoHyphens w:val="true"/>
        <w:bidi w:val="0"/>
        <w:spacing w:lineRule="auto" w:line="240" w:before="0" w:after="0"/>
        <w:ind w:left="0" w:right="-113" w:hanging="0"/>
        <w:jc w:val="center"/>
        <w:rPr>
          <w:rFonts w:ascii="Calibri" w:hAnsi="Calibri"/>
        </w:rPr>
      </w:pPr>
      <w:r>
        <w:rPr>
          <w:b/>
          <w:bCs/>
          <w:sz w:val="28"/>
          <w:szCs w:val="28"/>
          <w:u w:val="single"/>
        </w:rPr>
        <w:t>Lot 6</w:t>
      </w:r>
      <w:r>
        <w:rPr>
          <w:b/>
          <w:bCs/>
          <w:sz w:val="28"/>
          <w:szCs w:val="28"/>
        </w:rPr>
        <w:t> :</w:t>
      </w:r>
      <w:r>
        <w:rPr>
          <w:rFonts w:eastAsia="Times New Roman" w:cs="Times New Roman"/>
          <w:b/>
          <w:bCs/>
          <w:color w:val="auto"/>
          <w:kern w:val="0"/>
          <w:sz w:val="28"/>
          <w:szCs w:val="28"/>
          <w:u w:val="single"/>
          <w:lang w:val="fr-FR" w:eastAsia="fr-FR" w:bidi="ar-SA"/>
        </w:rPr>
        <w:t xml:space="preserve"> Diagnostics des enrobés et des canalisations pour la recherche d'amiante et d'HAP</w:t>
      </w:r>
    </w:p>
    <w:p>
      <w:pPr>
        <w:pStyle w:val="Normal"/>
        <w:spacing w:before="40" w:after="0"/>
        <w:ind w:left="20" w:right="20" w:hanging="0"/>
        <w:jc w:val="center"/>
        <w:rPr>
          <w:rFonts w:ascii="Calibri" w:hAnsi="Calibri"/>
        </w:rPr>
      </w:pPr>
      <w:r>
        <w:rPr>
          <w:rFonts w:ascii="Calibri" w:hAnsi="Calibri"/>
        </w:rPr>
      </w:r>
    </w:p>
    <w:p>
      <w:pPr>
        <w:pStyle w:val="Normal"/>
        <w:spacing w:before="40" w:after="0"/>
        <w:ind w:left="20" w:right="20" w:hanging="0"/>
        <w:jc w:val="center"/>
        <w:rPr>
          <w:rFonts w:ascii="Calibri" w:hAnsi="Calibri"/>
        </w:rPr>
      </w:pPr>
      <w:r>
        <w:rPr>
          <w:rFonts w:ascii="Calibri" w:hAnsi="Calibri"/>
        </w:rPr>
      </w:r>
    </w:p>
    <w:p>
      <w:pPr>
        <w:pStyle w:val="Normal"/>
        <w:spacing w:lineRule="exact" w:line="240"/>
        <w:rPr>
          <w:rFonts w:ascii="Calibri" w:hAnsi="Calibri"/>
        </w:rPr>
      </w:pPr>
      <w:r>
        <w:rPr>
          <w:rFonts w:ascii="Calibri" w:hAnsi="Calibri"/>
        </w:rPr>
      </w:r>
    </w:p>
    <w:p>
      <w:pPr>
        <w:pStyle w:val="Standard"/>
        <w:jc w:val="center"/>
        <w:rPr>
          <w:rFonts w:ascii="Arial" w:hAnsi="Arial"/>
          <w:color w:val="000000"/>
          <w:sz w:val="32"/>
          <w:szCs w:val="32"/>
          <w:lang w:val="fr-FR"/>
        </w:rPr>
      </w:pPr>
      <w:r>
        <w:rPr>
          <w:rFonts w:ascii="Arial" w:hAnsi="Arial"/>
          <w:color w:val="000000"/>
          <w:sz w:val="32"/>
          <w:szCs w:val="32"/>
          <w:lang w:val="fr-FR"/>
        </w:rPr>
      </w:r>
    </w:p>
    <w:p>
      <w:pPr>
        <w:pStyle w:val="Titre1"/>
        <w:numPr>
          <w:ilvl w:val="0"/>
          <w:numId w:val="0"/>
        </w:numPr>
        <w:ind w:left="360" w:hanging="0"/>
        <w:rPr/>
      </w:pPr>
      <w:r>
        <w:rPr>
          <w:rStyle w:val="SoustitreCar"/>
          <w:rFonts w:eastAsia="" w:eastAsiaTheme="majorEastAsia"/>
          <w:b/>
          <w:color w:val="000000"/>
          <w:sz w:val="24"/>
          <w:szCs w:val="32"/>
        </w:rPr>
        <w:t>ACHETEUR</w:t>
      </w:r>
    </w:p>
    <w:p>
      <w:pPr>
        <w:pStyle w:val="Normal"/>
        <w:keepLines/>
        <w:tabs>
          <w:tab w:val="clear" w:pos="709"/>
          <w:tab w:val="left" w:pos="392" w:leader="none"/>
        </w:tabs>
        <w:spacing w:lineRule="atLeast" w:line="0"/>
        <w:ind w:left="117" w:right="111" w:hanging="0"/>
        <w:jc w:val="both"/>
        <w:rPr>
          <w:rFonts w:ascii="Arial" w:hAnsi="Arial"/>
          <w:color w:val="000000"/>
        </w:rPr>
      </w:pPr>
      <w:r>
        <w:rPr>
          <w:color w:val="000000"/>
        </w:rPr>
      </w:r>
    </w:p>
    <w:p>
      <w:pPr>
        <w:pStyle w:val="Normal"/>
        <w:tabs>
          <w:tab w:val="clear" w:pos="709"/>
          <w:tab w:val="left" w:pos="392" w:leader="none"/>
        </w:tabs>
        <w:spacing w:lineRule="atLeast" w:line="0"/>
        <w:ind w:left="117" w:right="111" w:hanging="0"/>
        <w:jc w:val="both"/>
        <w:rPr>
          <w:rFonts w:ascii="Arial" w:hAnsi="Arial"/>
          <w:color w:val="000000"/>
        </w:rPr>
      </w:pPr>
      <w:r>
        <w:rPr>
          <w:color w:val="000000"/>
          <w:sz w:val="20"/>
          <w:szCs w:val="32"/>
          <w:lang w:val="fr-FR"/>
        </w:rPr>
        <w:t>Saint-Brieuc Armor Agglomération</w:t>
      </w:r>
    </w:p>
    <w:p>
      <w:pPr>
        <w:pStyle w:val="Normal"/>
        <w:tabs>
          <w:tab w:val="clear" w:pos="709"/>
          <w:tab w:val="left" w:pos="392" w:leader="none"/>
        </w:tabs>
        <w:spacing w:lineRule="atLeast" w:line="0"/>
        <w:ind w:left="117" w:right="111" w:hanging="0"/>
        <w:jc w:val="both"/>
        <w:rPr>
          <w:rFonts w:ascii="Arial" w:hAnsi="Arial"/>
          <w:color w:val="000000"/>
        </w:rPr>
      </w:pPr>
      <w:r>
        <w:rPr>
          <w:color w:val="000000"/>
          <w:sz w:val="20"/>
        </w:rPr>
        <w:t>5 rue de 71ème Régiment d'Infanterie</w:t>
      </w:r>
    </w:p>
    <w:p>
      <w:pPr>
        <w:pStyle w:val="Normal"/>
        <w:tabs>
          <w:tab w:val="clear" w:pos="709"/>
          <w:tab w:val="left" w:pos="392" w:leader="none"/>
        </w:tabs>
        <w:spacing w:lineRule="atLeast" w:line="0"/>
        <w:ind w:left="117" w:right="111" w:hanging="0"/>
        <w:jc w:val="both"/>
        <w:rPr>
          <w:rFonts w:ascii="Arial" w:hAnsi="Arial"/>
          <w:color w:val="000000"/>
        </w:rPr>
      </w:pPr>
      <w:r>
        <w:rPr>
          <w:color w:val="000000"/>
          <w:sz w:val="20"/>
          <w:szCs w:val="32"/>
          <w:lang w:val="fr-FR"/>
        </w:rPr>
        <w:t>22000 SAINT-BRIEUC</w:t>
      </w:r>
    </w:p>
    <w:p>
      <w:pPr>
        <w:pStyle w:val="Standard"/>
        <w:jc w:val="center"/>
        <w:rPr>
          <w:rFonts w:ascii="Arial" w:hAnsi="Arial"/>
          <w:color w:val="000000"/>
          <w:sz w:val="32"/>
          <w:szCs w:val="32"/>
          <w:lang w:val="fr-FR"/>
        </w:rPr>
      </w:pPr>
      <w:r>
        <w:rPr>
          <w:rFonts w:ascii="Arial" w:hAnsi="Arial"/>
          <w:color w:val="000000"/>
          <w:sz w:val="32"/>
          <w:szCs w:val="32"/>
          <w:lang w:val="fr-FR"/>
        </w:rPr>
      </w:r>
    </w:p>
    <w:p>
      <w:pPr>
        <w:pStyle w:val="Standard"/>
        <w:jc w:val="center"/>
        <w:rPr>
          <w:rFonts w:ascii="Arial" w:hAnsi="Arial"/>
          <w:color w:val="000000"/>
          <w:sz w:val="32"/>
          <w:szCs w:val="32"/>
          <w:lang w:val="fr-FR"/>
        </w:rPr>
      </w:pPr>
      <w:r>
        <w:rPr>
          <w:rFonts w:ascii="Arial" w:hAnsi="Arial"/>
          <w:color w:val="000000"/>
          <w:sz w:val="32"/>
          <w:szCs w:val="32"/>
          <w:lang w:val="fr-FR"/>
        </w:rPr>
      </w:r>
    </w:p>
    <w:p>
      <w:pPr>
        <w:pStyle w:val="Titre1"/>
        <w:numPr>
          <w:ilvl w:val="0"/>
          <w:numId w:val="0"/>
        </w:numPr>
        <w:ind w:left="360" w:hanging="0"/>
        <w:rPr/>
      </w:pPr>
      <w:r>
        <w:rPr>
          <w:rStyle w:val="SoustitreCar"/>
          <w:rFonts w:eastAsia="" w:eastAsiaTheme="majorEastAsia"/>
          <w:b/>
          <w:color w:val="000000"/>
          <w:sz w:val="24"/>
          <w:szCs w:val="32"/>
        </w:rPr>
        <w:t>ENTREPRISE</w:t>
      </w:r>
    </w:p>
    <w:p>
      <w:pPr>
        <w:pStyle w:val="Standard"/>
        <w:rPr>
          <w:rFonts w:ascii="Arial" w:hAnsi="Arial"/>
          <w:color w:val="000000"/>
        </w:rPr>
      </w:pPr>
      <w:r>
        <w:rPr>
          <w:rFonts w:ascii="Arial" w:hAnsi="Arial"/>
          <w:color w:val="000000"/>
        </w:rPr>
      </w:r>
    </w:p>
    <w:p>
      <w:pPr>
        <w:pStyle w:val="Standard"/>
        <w:rPr>
          <w:rFonts w:ascii="Arial" w:hAnsi="Arial"/>
          <w:color w:val="000000"/>
        </w:rPr>
      </w:pPr>
      <w:r>
        <w:rPr>
          <w:rFonts w:ascii="Arial" w:hAnsi="Arial"/>
          <w:color w:val="000000"/>
          <w:szCs w:val="32"/>
          <w:lang w:val="fr-FR"/>
        </w:rPr>
        <w:t>NOM de l’entreprise :</w:t>
      </w:r>
    </w:p>
    <w:p>
      <w:pPr>
        <w:pStyle w:val="Standard"/>
        <w:rPr>
          <w:rFonts w:ascii="Arial" w:hAnsi="Arial"/>
          <w:color w:val="000000"/>
        </w:rPr>
      </w:pPr>
      <w:r>
        <w:rPr>
          <w:rFonts w:ascii="Arial" w:hAnsi="Arial"/>
          <w:color w:val="000000"/>
          <w:szCs w:val="32"/>
          <w:lang w:val="fr-FR"/>
        </w:rPr>
        <w:t>SIRET :</w:t>
      </w:r>
    </w:p>
    <w:p>
      <w:pPr>
        <w:pStyle w:val="Standard"/>
        <w:rPr>
          <w:rFonts w:ascii="Arial" w:hAnsi="Arial"/>
          <w:color w:val="000000"/>
        </w:rPr>
      </w:pPr>
      <w:r>
        <w:rPr>
          <w:rFonts w:ascii="Arial" w:hAnsi="Arial"/>
          <w:color w:val="000000"/>
          <w:szCs w:val="32"/>
          <w:lang w:val="fr-FR"/>
        </w:rPr>
        <w:t>Contact :</w:t>
      </w:r>
    </w:p>
    <w:p>
      <w:pPr>
        <w:pStyle w:val="Standard"/>
        <w:rPr>
          <w:rFonts w:ascii="Arial" w:hAnsi="Arial"/>
          <w:color w:val="000000"/>
        </w:rPr>
      </w:pPr>
      <w:r>
        <w:rPr>
          <w:rFonts w:ascii="Arial" w:hAnsi="Arial"/>
          <w:color w:val="000000"/>
          <w:szCs w:val="32"/>
          <w:lang w:val="fr-FR"/>
        </w:rPr>
        <w:t>Téléphone :</w:t>
      </w:r>
    </w:p>
    <w:p>
      <w:pPr>
        <w:pStyle w:val="Standard"/>
        <w:rPr>
          <w:rFonts w:ascii="Arial" w:hAnsi="Arial"/>
          <w:color w:val="000000"/>
        </w:rPr>
      </w:pPr>
      <w:r>
        <w:rPr>
          <w:rFonts w:ascii="Arial" w:hAnsi="Arial"/>
          <w:color w:val="000000"/>
          <w:szCs w:val="32"/>
          <w:lang w:val="fr-FR"/>
        </w:rPr>
        <w:t xml:space="preserve">Mail : </w:t>
      </w:r>
    </w:p>
    <w:p>
      <w:pPr>
        <w:pStyle w:val="Standard"/>
        <w:jc w:val="center"/>
        <w:rPr>
          <w:rFonts w:ascii="Arial" w:hAnsi="Arial"/>
          <w:color w:val="000000"/>
          <w:sz w:val="32"/>
          <w:szCs w:val="32"/>
          <w:lang w:val="fr-FR"/>
        </w:rPr>
      </w:pPr>
      <w:r>
        <w:rPr>
          <w:rFonts w:ascii="Arial" w:hAnsi="Arial"/>
          <w:color w:val="000000"/>
          <w:sz w:val="32"/>
          <w:szCs w:val="32"/>
          <w:lang w:val="fr-FR"/>
        </w:rPr>
      </w:r>
      <w:r>
        <w:br w:type="page"/>
      </w:r>
    </w:p>
    <w:p>
      <w:pPr>
        <w:pStyle w:val="Titre1"/>
        <w:numPr>
          <w:ilvl w:val="0"/>
          <w:numId w:val="0"/>
        </w:numPr>
        <w:ind w:left="360" w:hanging="0"/>
        <w:rPr/>
      </w:pPr>
      <w:r>
        <w:rPr>
          <w:rStyle w:val="SoustitreCar"/>
          <w:rFonts w:eastAsia="" w:eastAsiaTheme="majorEastAsia"/>
          <w:b/>
          <w:color w:val="000000"/>
          <w:sz w:val="24"/>
          <w:szCs w:val="32"/>
        </w:rPr>
        <w:t>PREAMBULE</w:t>
      </w:r>
    </w:p>
    <w:p>
      <w:pPr>
        <w:pStyle w:val="Normal"/>
        <w:jc w:val="center"/>
        <w:rPr>
          <w:rFonts w:ascii="Arial" w:hAnsi="Arial"/>
          <w:color w:val="000000"/>
        </w:rPr>
      </w:pPr>
      <w:r>
        <w:rPr>
          <w:color w:val="000000"/>
        </w:rPr>
      </w:r>
    </w:p>
    <w:p>
      <w:pPr>
        <w:pStyle w:val="Normal"/>
        <w:jc w:val="both"/>
        <w:rPr>
          <w:sz w:val="22"/>
          <w:szCs w:val="22"/>
        </w:rPr>
      </w:pPr>
      <w:r>
        <w:rPr>
          <w:color w:val="000000"/>
          <w:sz w:val="22"/>
          <w:szCs w:val="22"/>
        </w:rPr>
        <w:t>Le mémoire cadre de réponse est un document à compléter par les entreprises et à joindre à l’offre.</w:t>
      </w:r>
    </w:p>
    <w:p>
      <w:pPr>
        <w:pStyle w:val="Normal"/>
        <w:jc w:val="both"/>
        <w:rPr>
          <w:rFonts w:ascii="Arial" w:hAnsi="Arial"/>
          <w:color w:val="000000"/>
          <w:sz w:val="22"/>
          <w:szCs w:val="22"/>
        </w:rPr>
      </w:pPr>
      <w:r>
        <w:rPr>
          <w:color w:val="000000"/>
          <w:sz w:val="22"/>
          <w:szCs w:val="22"/>
        </w:rPr>
      </w:r>
    </w:p>
    <w:p>
      <w:pPr>
        <w:pStyle w:val="Normal"/>
        <w:jc w:val="both"/>
        <w:rPr>
          <w:sz w:val="22"/>
          <w:szCs w:val="22"/>
        </w:rPr>
      </w:pPr>
      <w:r>
        <w:rPr>
          <w:color w:val="000000"/>
          <w:sz w:val="22"/>
          <w:szCs w:val="22"/>
        </w:rPr>
        <w:t>La production de ce mémoire est une exigence spécifiée dans le règlement de consultation.</w:t>
      </w:r>
    </w:p>
    <w:p>
      <w:pPr>
        <w:pStyle w:val="Normal"/>
        <w:jc w:val="both"/>
        <w:rPr>
          <w:rFonts w:ascii="Arial" w:hAnsi="Arial"/>
          <w:color w:val="000000"/>
        </w:rPr>
      </w:pPr>
      <w:r>
        <w:rPr>
          <w:color w:val="000000"/>
        </w:rPr>
      </w:r>
    </w:p>
    <w:p>
      <w:pPr>
        <w:pStyle w:val="Normal"/>
        <w:jc w:val="both"/>
        <w:rPr>
          <w:sz w:val="22"/>
          <w:szCs w:val="22"/>
        </w:rPr>
      </w:pPr>
      <w:r>
        <w:rPr>
          <w:color w:val="000000"/>
          <w:sz w:val="22"/>
          <w:szCs w:val="22"/>
        </w:rPr>
        <w:t>Le mémoire cadre de réponse doit décrire de la manière la plus détaillée possible l’ensemble des prestations que le candidat se propose de mettre en œuvre, selon les différentes thématiques et rubriques figurant ci-dessous ; il</w:t>
      </w:r>
      <w:r>
        <w:rPr>
          <w:rFonts w:cs="Arial"/>
          <w:b w:val="false"/>
          <w:bCs w:val="false"/>
          <w:i w:val="false"/>
          <w:iCs w:val="false"/>
          <w:color w:val="000000"/>
          <w:sz w:val="22"/>
          <w:szCs w:val="22"/>
        </w:rPr>
        <w:t xml:space="preserve"> est élaboré pour permettre aux candidats de renseigner utilement les informations nécessaires à la compréhension de leur offre.</w:t>
      </w:r>
    </w:p>
    <w:p>
      <w:pPr>
        <w:pStyle w:val="Normal"/>
        <w:jc w:val="both"/>
        <w:rPr>
          <w:rFonts w:ascii="Arial" w:hAnsi="Arial"/>
          <w:color w:val="000000"/>
          <w:sz w:val="22"/>
          <w:szCs w:val="22"/>
        </w:rPr>
      </w:pPr>
      <w:r>
        <w:rPr>
          <w:color w:val="000000"/>
          <w:sz w:val="22"/>
          <w:szCs w:val="22"/>
        </w:rPr>
      </w:r>
    </w:p>
    <w:p>
      <w:pPr>
        <w:pStyle w:val="Normal"/>
        <w:jc w:val="both"/>
        <w:rPr>
          <w:sz w:val="22"/>
          <w:szCs w:val="22"/>
        </w:rPr>
      </w:pPr>
      <w:r>
        <w:rPr>
          <w:color w:val="000000"/>
          <w:sz w:val="22"/>
          <w:szCs w:val="22"/>
        </w:rPr>
        <w:t>Les informations fournies serviront à analyser les offres au regard des critères précisés dans les documents de la consultation.</w:t>
      </w:r>
    </w:p>
    <w:p>
      <w:pPr>
        <w:pStyle w:val="Normal"/>
        <w:jc w:val="both"/>
        <w:rPr>
          <w:rFonts w:ascii="Arial" w:hAnsi="Arial"/>
          <w:color w:val="000000"/>
        </w:rPr>
      </w:pPr>
      <w:r>
        <w:rPr>
          <w:color w:val="000000"/>
        </w:rPr>
      </w:r>
    </w:p>
    <w:p>
      <w:pPr>
        <w:pStyle w:val="Normal"/>
        <w:jc w:val="both"/>
        <w:rPr>
          <w:rFonts w:ascii="Arial" w:hAnsi="Arial"/>
          <w:sz w:val="22"/>
          <w:szCs w:val="22"/>
        </w:rPr>
      </w:pPr>
      <w:r>
        <w:rPr>
          <w:rFonts w:cs="Arial"/>
          <w:b w:val="false"/>
          <w:bCs w:val="false"/>
          <w:i w:val="false"/>
          <w:iCs w:val="false"/>
          <w:color w:val="000000"/>
          <w:sz w:val="22"/>
          <w:szCs w:val="22"/>
        </w:rPr>
        <w:t>Tout document rajouté à l’appui de l’offre devra être clairement identifié dans l'encart prévu à cet effet, notamment quant aux renvois aux développements en relation avec les points demandés par l’entité adjudicatrice.</w:t>
      </w:r>
      <w:r>
        <w:rPr>
          <w:rFonts w:cs="Arial"/>
          <w:b w:val="false"/>
          <w:bCs w:val="false"/>
          <w:i w:val="false"/>
          <w:iCs w:val="false"/>
          <w:color w:val="000000"/>
          <w:sz w:val="22"/>
          <w:szCs w:val="22"/>
          <w:u w:val="none"/>
        </w:rPr>
        <w:t xml:space="preserve"> Dans le cas contraire, le document ne sera pas pris en compte.</w:t>
      </w:r>
    </w:p>
    <w:p>
      <w:pPr>
        <w:pStyle w:val="Normal"/>
        <w:jc w:val="both"/>
        <w:rPr>
          <w:rFonts w:ascii="Arial" w:hAnsi="Arial"/>
          <w:color w:val="000000"/>
          <w:sz w:val="22"/>
          <w:szCs w:val="22"/>
        </w:rPr>
      </w:pPr>
      <w:r>
        <w:rPr>
          <w:color w:val="000000"/>
          <w:sz w:val="22"/>
          <w:szCs w:val="22"/>
        </w:rPr>
      </w:r>
    </w:p>
    <w:p>
      <w:pPr>
        <w:pStyle w:val="Normal"/>
        <w:jc w:val="both"/>
        <w:rPr>
          <w:rFonts w:ascii="Arial" w:hAnsi="Arial"/>
          <w:sz w:val="22"/>
          <w:szCs w:val="22"/>
        </w:rPr>
      </w:pPr>
      <w:r>
        <w:rPr>
          <w:rFonts w:cs="Arial"/>
          <w:b w:val="false"/>
          <w:bCs w:val="false"/>
          <w:i w:val="false"/>
          <w:iCs w:val="false"/>
          <w:color w:val="000000"/>
          <w:sz w:val="22"/>
          <w:szCs w:val="22"/>
        </w:rPr>
        <w:t>Le mémoire cadre de réponse du titulaire, devient pièce contractuelle constitutive du marché.</w:t>
      </w:r>
    </w:p>
    <w:p>
      <w:pPr>
        <w:pStyle w:val="Normal"/>
        <w:jc w:val="both"/>
        <w:rPr>
          <w:rFonts w:cs="Arial"/>
          <w:b w:val="false"/>
          <w:b w:val="false"/>
          <w:bCs w:val="false"/>
          <w:i w:val="false"/>
          <w:i w:val="false"/>
          <w:iCs w:val="false"/>
        </w:rPr>
      </w:pPr>
      <w:r>
        <w:rPr>
          <w:rFonts w:cs="Arial"/>
          <w:b w:val="false"/>
          <w:bCs w:val="false"/>
          <w:i w:val="false"/>
          <w:iCs w:val="false"/>
        </w:rPr>
      </w:r>
    </w:p>
    <w:p>
      <w:pPr>
        <w:pStyle w:val="Normal"/>
        <w:jc w:val="both"/>
        <w:rPr>
          <w:u w:val="none"/>
        </w:rPr>
      </w:pPr>
      <w:r>
        <w:rPr>
          <w:rFonts w:cs="Arial"/>
          <w:b/>
          <w:bCs/>
          <w:i w:val="false"/>
          <w:iCs w:val="false"/>
          <w:sz w:val="22"/>
          <w:szCs w:val="22"/>
          <w:u w:val="none"/>
          <w:shd w:fill="auto" w:val="clear"/>
        </w:rPr>
        <w:t>Par conséquent, l’acheteur se réserve le droit de déclarer irrégulière et d’écarter l’offre de tout candidat n'utilisant pas le présent cadre et/ou n'identifiant pas de manière non ambiguë les documents annexes permettant de répondre spécifiquement aux questions posées.</w:t>
      </w:r>
    </w:p>
    <w:p>
      <w:pPr>
        <w:pStyle w:val="Normal"/>
        <w:spacing w:lineRule="exact" w:line="240"/>
        <w:rPr>
          <w:rFonts w:ascii="Arial" w:hAnsi="Arial" w:cs="Arial"/>
          <w:b/>
          <w:b/>
          <w:bCs/>
          <w:i/>
          <w:i/>
          <w:iCs/>
          <w:sz w:val="22"/>
          <w:szCs w:val="22"/>
          <w:highlight w:val="none"/>
          <w:u w:val="single"/>
          <w:shd w:fill="auto" w:val="clear"/>
        </w:rPr>
      </w:pPr>
      <w:r>
        <w:rPr>
          <w:rFonts w:cs="Arial"/>
          <w:b/>
          <w:bCs/>
          <w:i/>
          <w:iCs/>
          <w:sz w:val="22"/>
          <w:szCs w:val="22"/>
          <w:u w:val="single"/>
          <w:shd w:fill="auto" w:val="clear"/>
        </w:rPr>
      </w:r>
    </w:p>
    <w:p>
      <w:pPr>
        <w:pStyle w:val="Normal"/>
        <w:jc w:val="both"/>
        <w:rPr>
          <w:rFonts w:cs="Arial"/>
        </w:rPr>
      </w:pPr>
      <w:r>
        <w:rPr>
          <w:rFonts w:cs="Arial"/>
        </w:rPr>
      </w:r>
    </w:p>
    <w:p>
      <w:pPr>
        <w:pStyle w:val="Normal"/>
        <w:jc w:val="both"/>
        <w:rPr>
          <w:rFonts w:ascii="Arial" w:hAnsi="Arial"/>
          <w:i/>
          <w:i/>
          <w:iCs/>
          <w:sz w:val="22"/>
          <w:szCs w:val="22"/>
        </w:rPr>
      </w:pPr>
      <w:r>
        <w:rPr>
          <w:rFonts w:cs="Arial"/>
          <w:i/>
          <w:iCs/>
          <w:sz w:val="22"/>
          <w:szCs w:val="22"/>
        </w:rPr>
        <w:t>Une attention particulière devra être apportée aux renseignements fournis par le candidat dans ce cadre de réponse qui constitue sa proposition technique : il ne s’agit pas de reporter dans ce cadre les informations générales de l’entreprise relative à la candidature mais les éléments spécifiques à la consultation visée en objet, permettant d’analyser et de juger l’offre.</w:t>
      </w:r>
    </w:p>
    <w:p>
      <w:pPr>
        <w:pStyle w:val="Normal"/>
        <w:jc w:val="both"/>
        <w:rPr>
          <w:rFonts w:ascii="Arial" w:hAnsi="Arial"/>
          <w:sz w:val="22"/>
          <w:szCs w:val="22"/>
          <w:u w:val="none"/>
        </w:rPr>
      </w:pPr>
      <w:r>
        <w:rPr>
          <w:sz w:val="22"/>
          <w:szCs w:val="22"/>
          <w:u w:val="none"/>
        </w:rPr>
      </w:r>
    </w:p>
    <w:p>
      <w:pPr>
        <w:pStyle w:val="Normal"/>
        <w:jc w:val="both"/>
        <w:rPr>
          <w:rFonts w:ascii="Arial" w:hAnsi="Arial"/>
          <w:sz w:val="22"/>
          <w:szCs w:val="22"/>
          <w:u w:val="none"/>
        </w:rPr>
      </w:pPr>
      <w:r>
        <w:rPr>
          <w:sz w:val="22"/>
          <w:szCs w:val="22"/>
          <w:u w:val="none"/>
        </w:rPr>
      </w:r>
    </w:p>
    <w:p>
      <w:pPr>
        <w:pStyle w:val="Normal"/>
        <w:jc w:val="both"/>
        <w:rPr>
          <w:rFonts w:ascii="Arial" w:hAnsi="Arial"/>
          <w:sz w:val="22"/>
          <w:szCs w:val="22"/>
        </w:rPr>
      </w:pPr>
      <w:r>
        <w:rPr>
          <w:sz w:val="22"/>
          <w:szCs w:val="22"/>
        </w:rPr>
      </w:r>
      <w:r>
        <w:br w:type="page"/>
      </w:r>
    </w:p>
    <w:p>
      <w:pPr>
        <w:pStyle w:val="Normal"/>
        <w:shd w:val="clear" w:color="auto" w:fill="8DB3E2"/>
        <w:jc w:val="center"/>
        <w:rPr>
          <w:rFonts w:ascii="Arial" w:hAnsi="Arial"/>
          <w:sz w:val="22"/>
          <w:szCs w:val="22"/>
        </w:rPr>
      </w:pPr>
      <w:r>
        <w:rPr>
          <w:rFonts w:eastAsia="Arial" w:cs="Arial"/>
          <w:b/>
          <w:color w:val="000000"/>
          <w:sz w:val="22"/>
          <w:szCs w:val="22"/>
        </w:rPr>
        <w:t>MEMOIRE CADRE DE REPONSE</w:t>
      </w:r>
    </w:p>
    <w:p>
      <w:pPr>
        <w:pStyle w:val="Normal"/>
        <w:tabs>
          <w:tab w:val="clear" w:pos="709"/>
          <w:tab w:val="left" w:pos="1590" w:leader="none"/>
        </w:tabs>
        <w:spacing w:lineRule="exact" w:line="240" w:before="0" w:after="220"/>
        <w:jc w:val="both"/>
        <w:rPr>
          <w:rFonts w:ascii="Arial" w:hAnsi="Arial"/>
          <w:sz w:val="22"/>
          <w:szCs w:val="22"/>
        </w:rPr>
      </w:pPr>
      <w:r>
        <w:rPr>
          <w:rFonts w:cs="Arial"/>
          <w:b/>
          <w:sz w:val="22"/>
          <w:szCs w:val="22"/>
          <w:u w:val="none"/>
        </w:rPr>
        <w:tab/>
      </w:r>
    </w:p>
    <w:p>
      <w:pPr>
        <w:pStyle w:val="Titre1"/>
        <w:numPr>
          <w:ilvl w:val="0"/>
          <w:numId w:val="0"/>
        </w:numPr>
        <w:ind w:left="360" w:hanging="0"/>
        <w:rPr/>
      </w:pPr>
      <w:r>
        <w:rPr>
          <w:rStyle w:val="SoustitreCar"/>
          <w:rFonts w:eastAsia="" w:eastAsiaTheme="majorEastAsia"/>
          <w:b/>
          <w:color w:val="000000"/>
          <w:sz w:val="24"/>
          <w:szCs w:val="32"/>
        </w:rPr>
        <w:t>Valeur technique (noté sur 30 points)</w:t>
      </w:r>
    </w:p>
    <w:p>
      <w:pPr>
        <w:pStyle w:val="Normal"/>
        <w:rPr>
          <w:rFonts w:ascii="Arial" w:hAnsi="Arial"/>
          <w:color w:val="000000"/>
        </w:rPr>
      </w:pPr>
      <w:r>
        <w:rPr>
          <w:color w:val="000000"/>
        </w:rPr>
      </w:r>
    </w:p>
    <w:p>
      <w:pPr>
        <w:pStyle w:val="Normal"/>
        <w:rPr>
          <w:rFonts w:ascii="Arial" w:hAnsi="Arial"/>
          <w:color w:val="000000"/>
        </w:rPr>
      </w:pPr>
      <w:r>
        <w:rPr>
          <w:color w:val="000000"/>
        </w:rPr>
      </w:r>
    </w:p>
    <w:tbl>
      <w:tblPr>
        <w:tblW w:w="8729" w:type="dxa"/>
        <w:jc w:val="left"/>
        <w:tblInd w:w="130" w:type="dxa"/>
        <w:tblLayout w:type="fixed"/>
        <w:tblCellMar>
          <w:top w:w="0" w:type="dxa"/>
          <w:left w:w="70" w:type="dxa"/>
          <w:bottom w:w="0" w:type="dxa"/>
          <w:right w:w="70" w:type="dxa"/>
        </w:tblCellMar>
        <w:tblLook w:firstRow="1" w:noVBand="1" w:lastRow="0" w:firstColumn="1" w:lastColumn="0" w:noHBand="0" w:val="04a0"/>
      </w:tblPr>
      <w:tblGrid>
        <w:gridCol w:w="8729"/>
      </w:tblGrid>
      <w:tr>
        <w:trPr>
          <w:trHeight w:val="450"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Default"/>
              <w:widowControl w:val="false"/>
              <w:tabs>
                <w:tab w:val="clear" w:pos="709"/>
              </w:tabs>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ascii="Arial" w:hAnsi="Arial"/>
                <w:b/>
                <w:i w:val="false"/>
                <w:iCs w:val="false"/>
                <w:color w:val="FFFFFF"/>
                <w:kern w:val="0"/>
                <w:sz w:val="22"/>
                <w:szCs w:val="22"/>
                <w:shd w:fill="auto" w:val="clear"/>
                <w:lang w:val="fr-FR" w:eastAsia="en-US" w:bidi="ar-SA"/>
              </w:rPr>
              <w:t>Modalités d’exécution des prestations 16 pts</w:t>
            </w:r>
          </w:p>
        </w:tc>
      </w:tr>
      <w:tr>
        <w:trPr>
          <w:trHeight w:val="450"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strike w:val="false"/>
                <w:dstrike w:val="false"/>
                <w:outline w:val="false"/>
                <w:shadow w:val="false"/>
                <w:u w:val="none"/>
                <w:em w:val="none"/>
              </w:rPr>
            </w:pPr>
            <w:r>
              <w:rPr>
                <w:strike w:val="false"/>
                <w:dstrike w:val="false"/>
                <w:outline w:val="false"/>
                <w:shadow w:val="false"/>
                <w:u w:val="none"/>
                <w:em w:val="none"/>
              </w:rPr>
            </w:r>
          </w:p>
          <w:p>
            <w:pPr>
              <w:pStyle w:val="Contenudetableau"/>
              <w:widowControl w:val="false"/>
              <w:jc w:val="left"/>
              <w:rPr>
                <w:rFonts w:ascii="Arial" w:hAnsi="Arial" w:eastAsia="Calibri" w:cs="Calibri"/>
                <w:b/>
                <w:b/>
                <w:bCs/>
                <w:i w:val="false"/>
                <w:i w:val="false"/>
                <w:iCs w:val="false"/>
                <w:color w:val="000000"/>
                <w:kern w:val="2"/>
                <w:sz w:val="22"/>
                <w:szCs w:val="22"/>
                <w:highlight w:val="none"/>
                <w:shd w:fill="729FCF" w:val="clear"/>
                <w:lang w:val="fr-FR" w:eastAsia="en-US" w:bidi="en-US"/>
              </w:rPr>
            </w:pP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 xml:space="preserve">1/ </w:t>
            </w: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 Repérage amiante et HAP dans les enrobés et canalisations : Consistance des prestations (10 pts)</w:t>
            </w:r>
          </w:p>
          <w:p>
            <w:pPr>
              <w:pStyle w:val="Normal"/>
              <w:widowControl w:val="false"/>
              <w:jc w:val="left"/>
              <w:rPr>
                <w:rFonts w:ascii="Arial" w:hAnsi="Arial" w:eastAsia="Calibri" w:cs="Calibri"/>
                <w:b/>
                <w:b/>
                <w:bCs/>
                <w:i w:val="false"/>
                <w:i w:val="false"/>
                <w:iCs w:val="false"/>
                <w:color w:val="000000"/>
                <w:kern w:val="2"/>
                <w:sz w:val="22"/>
                <w:szCs w:val="22"/>
                <w:highlight w:val="none"/>
                <w:shd w:fill="729FCF" w:val="clear"/>
                <w:lang w:val="fr-FR" w:eastAsia="en-US" w:bidi="en-US"/>
              </w:rPr>
            </w:pPr>
            <w:r>
              <w:rPr>
                <w:rFonts w:eastAsia="Calibri" w:cs="Calibri"/>
                <w:b/>
                <w:bCs/>
                <w:i w:val="false"/>
                <w:iCs w:val="false"/>
                <w:color w:val="000000"/>
                <w:kern w:val="2"/>
                <w:sz w:val="22"/>
                <w:szCs w:val="22"/>
                <w:shd w:fill="729FCF" w:val="clear"/>
                <w:lang w:val="fr-FR" w:eastAsia="en-US" w:bidi="en-US"/>
              </w:rPr>
            </w:r>
          </w:p>
          <w:p>
            <w:pPr>
              <w:pStyle w:val="Normal"/>
              <w:widowControl w:val="false"/>
              <w:bidi w:val="0"/>
              <w:jc w:val="left"/>
              <w:rPr>
                <w:rFonts w:ascii="Arial" w:hAnsi="Arial" w:eastAsia="Calibri" w:cs="Calibri"/>
                <w:b w:val="false"/>
                <w:b w:val="false"/>
                <w:bCs w:val="false"/>
                <w:color w:val="000000"/>
                <w:kern w:val="2"/>
                <w:sz w:val="22"/>
                <w:szCs w:val="22"/>
                <w:lang w:val="fr-FR" w:eastAsia="en-US" w:bidi="en-US"/>
              </w:rPr>
            </w:pPr>
            <w:r>
              <w:rPr>
                <w:rFonts w:eastAsia="Calibri" w:cs="Calibri"/>
                <w:b w:val="false"/>
                <w:bCs w:val="false"/>
                <w:i w:val="false"/>
                <w:strike w:val="false"/>
                <w:dstrike w:val="false"/>
                <w:outline w:val="false"/>
                <w:shadow w:val="false"/>
                <w:color w:val="000000"/>
                <w:kern w:val="2"/>
                <w:sz w:val="22"/>
                <w:szCs w:val="22"/>
                <w:u w:val="none"/>
                <w:shd w:fill="729FCF" w:val="clear"/>
                <w:em w:val="none"/>
                <w:lang w:val="fr-FR" w:eastAsia="en-US" w:bidi="en-US"/>
              </w:rPr>
              <w:t>1/a</w:t>
            </w: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xml:space="preserve"> Détaillez le mode opératoire envisagé pour les prélèvements et analyses en tenant compte notamment des éléments suivants :</w:t>
            </w:r>
          </w:p>
          <w:p>
            <w:pPr>
              <w:pStyle w:val="Normal"/>
              <w:widowControl w:val="false"/>
              <w:bidi w:val="0"/>
              <w:jc w:val="left"/>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Ouverture administrative du dossier et l’analyse des documents transmis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Établissement du périmètre et du programme de repérage</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Reconnaissance de l’intervention par une visite sur site si nécessaire</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Analyse documentaire des éléments relatifs à l’historique des chaussées avant intervention</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Préparation de l’intervention conformément à la réglementation DT-DICT avec notamment réalisation et entretien d’un marquage au sol des réseaux</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Demandes d’arrêtés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Adaptation du nombre de points et du matériel en fonction des observations terrain et du type de structure d’enrobé contrôlée</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Adaptation de l’organisation en fonction du trafic</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Le mode opératoire pour la réalisation des prélèvements (enrobés et canalisations)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L'envoi des prélèvements pour analyse</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Déclenchement d’une analyse HAP après résultats des analyses amiante (enrobés)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L’accompagnement du préleveur par une personne habilitée CATEC (canalisations)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Réalisation d’intervention de nuit</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Les d</w:t>
            </w: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élais envisagés pour chaque étape de la prestation</w:t>
            </w:r>
          </w:p>
          <w:p>
            <w:pPr>
              <w:pStyle w:val="Normal"/>
              <w:widowControl w:val="false"/>
              <w:bidi w:val="0"/>
              <w:jc w:val="left"/>
              <w:rPr>
                <w:rFonts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bCs w:val="false"/>
                <w:color w:val="000000"/>
                <w:kern w:val="2"/>
                <w:sz w:val="22"/>
                <w:szCs w:val="22"/>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bidi w:val="0"/>
              <w:jc w:val="left"/>
              <w:rPr>
                <w:rFonts w:ascii="Arial" w:hAnsi="Arial"/>
                <w:sz w:val="22"/>
                <w:szCs w:val="22"/>
              </w:rPr>
            </w:pPr>
            <w:r>
              <w:rPr>
                <w:rFonts w:eastAsia="Calibri" w:cs="Calibri"/>
                <w:b w:val="false"/>
                <w:bCs/>
                <w:i w:val="false"/>
                <w:strike w:val="false"/>
                <w:dstrike w:val="false"/>
                <w:outline w:val="false"/>
                <w:shadow w:val="false"/>
                <w:color w:val="000000"/>
                <w:kern w:val="2"/>
                <w:sz w:val="22"/>
                <w:szCs w:val="22"/>
                <w:u w:val="none"/>
                <w:em w:val="none"/>
                <w:lang w:val="fr-FR" w:eastAsia="en-US" w:bidi="en-US"/>
              </w:rPr>
              <w:t>- Numéros de pages se rapportant exclusivement au présent sous-critère :</w:t>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jc w:val="left"/>
              <w:rPr>
                <w:rFonts w:ascii="Arial" w:hAnsi="Arial" w:eastAsia="Calibri" w:cs="Calibri"/>
                <w:b/>
                <w:b/>
                <w:color w:val="000000"/>
                <w:kern w:val="2"/>
                <w:sz w:val="22"/>
                <w:szCs w:val="22"/>
                <w:lang w:val="fr-FR" w:eastAsia="en-US" w:bidi="en-US"/>
              </w:rPr>
            </w:pPr>
            <w:r>
              <w:rPr>
                <w:rFonts w:eastAsia="Calibri" w:cs="Calibri"/>
                <w:b/>
                <w:color w:val="000000"/>
                <w:kern w:val="2"/>
                <w:sz w:val="22"/>
                <w:szCs w:val="22"/>
                <w:lang w:val="fr-FR" w:eastAsia="en-US" w:bidi="en-US"/>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bidi w:val="0"/>
              <w:jc w:val="left"/>
              <w:rPr>
                <w:rFonts w:ascii="Arial" w:hAnsi="Arial" w:eastAsia="Calibri" w:cs="Calibri"/>
                <w:b/>
                <w:b/>
                <w:bCs/>
                <w:color w:val="000000"/>
                <w:kern w:val="2"/>
                <w:sz w:val="22"/>
                <w:szCs w:val="22"/>
                <w:highlight w:val="none"/>
                <w:shd w:fill="729FCF" w:val="clear"/>
                <w:lang w:val="fr-FR" w:eastAsia="en-US" w:bidi="en-US"/>
              </w:rPr>
            </w:pPr>
            <w:r>
              <w:rPr>
                <w:rFonts w:eastAsia="Calibri" w:cs="Calibri"/>
                <w:b/>
                <w:bCs/>
                <w:color w:val="000000"/>
                <w:kern w:val="2"/>
                <w:sz w:val="22"/>
                <w:szCs w:val="22"/>
                <w:shd w:fill="729FCF" w:val="clear"/>
                <w:lang w:val="fr-FR" w:eastAsia="en-US" w:bidi="en-US"/>
              </w:rPr>
            </w:r>
          </w:p>
          <w:p>
            <w:pPr>
              <w:pStyle w:val="Contenudetableau"/>
              <w:widowControl w:val="false"/>
              <w:bidi w:val="0"/>
              <w:jc w:val="left"/>
              <w:rPr>
                <w:rFonts w:ascii="Arial" w:hAnsi="Arial" w:eastAsia="Calibri" w:cs="Calibri"/>
                <w:b/>
                <w:b/>
                <w:bCs/>
                <w:color w:val="000000"/>
                <w:kern w:val="2"/>
                <w:sz w:val="22"/>
                <w:szCs w:val="22"/>
                <w:highlight w:val="none"/>
                <w:shd w:fill="729FCF" w:val="clear"/>
                <w:lang w:val="fr-FR" w:eastAsia="en-US" w:bidi="en-US"/>
              </w:rPr>
            </w:pP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2/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Repérage amiante et HAP dans les enrobés et canalisations</w:t>
            </w: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 Rapport d</w:t>
            </w: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’intervention (6 pts)</w:t>
            </w:r>
          </w:p>
          <w:p>
            <w:pPr>
              <w:pStyle w:val="Normal"/>
              <w:widowControl w:val="false"/>
              <w:bidi w:val="0"/>
              <w:jc w:val="left"/>
              <w:rPr>
                <w:rFonts w:ascii="Arial" w:hAnsi="Arial" w:eastAsia="Calibri" w:cs="Calibri"/>
                <w:b/>
                <w:b/>
                <w:bCs/>
                <w:color w:val="000000"/>
                <w:kern w:val="2"/>
                <w:sz w:val="22"/>
                <w:szCs w:val="22"/>
                <w:highlight w:val="none"/>
                <w:shd w:fill="729FCF" w:val="clear"/>
                <w:lang w:val="fr-FR" w:eastAsia="en-US" w:bidi="en-US"/>
              </w:rPr>
            </w:pPr>
            <w:r>
              <w:rPr>
                <w:rFonts w:eastAsia="Calibri" w:cs="Calibri"/>
                <w:b/>
                <w:bCs/>
                <w:color w:val="000000"/>
                <w:kern w:val="2"/>
                <w:sz w:val="22"/>
                <w:szCs w:val="22"/>
                <w:shd w:fill="729FCF" w:val="clear"/>
                <w:lang w:val="fr-FR" w:eastAsia="en-US" w:bidi="en-US"/>
              </w:rPr>
            </w:r>
          </w:p>
          <w:p>
            <w:pPr>
              <w:pStyle w:val="Normal"/>
              <w:widowControl w:val="false"/>
              <w:bidi w:val="0"/>
              <w:jc w:val="left"/>
              <w:rPr>
                <w:rFonts w:ascii="Arial" w:hAnsi="Arial"/>
                <w:sz w:val="22"/>
                <w:szCs w:val="22"/>
              </w:rPr>
            </w:pPr>
            <w:r>
              <w:rPr>
                <w:rFonts w:eastAsia="Calibri" w:cs="Calibri"/>
                <w:b w:val="false"/>
                <w:i w:val="false"/>
                <w:strike w:val="false"/>
                <w:dstrike w:val="false"/>
                <w:outline w:val="false"/>
                <w:shadow w:val="false"/>
                <w:color w:val="000000"/>
                <w:kern w:val="2"/>
                <w:sz w:val="22"/>
                <w:szCs w:val="22"/>
                <w:u w:val="none"/>
                <w:shd w:fill="729FCF" w:val="clear"/>
                <w:em w:val="none"/>
                <w:lang w:val="fr-FR" w:eastAsia="en-US" w:bidi="en-US"/>
              </w:rPr>
              <w:t>2/a</w:t>
            </w:r>
            <w:r>
              <w:rPr>
                <w:rFonts w:eastAsia="Calibri" w:cs="Calibri"/>
                <w:b w:val="false"/>
                <w:i w:val="false"/>
                <w:strike w:val="false"/>
                <w:dstrike w:val="false"/>
                <w:outline w:val="false"/>
                <w:shadow w:val="false"/>
                <w:color w:val="000000"/>
                <w:kern w:val="2"/>
                <w:sz w:val="22"/>
                <w:szCs w:val="22"/>
                <w:u w:val="none"/>
                <w:em w:val="none"/>
                <w:lang w:val="fr-FR" w:eastAsia="en-US" w:bidi="en-US"/>
              </w:rPr>
              <w:t xml:space="preserve"> Précisez et présentez les supports d’échange prévus avec la conduite d’opération dont notamment :</w:t>
            </w:r>
          </w:p>
          <w:p>
            <w:pPr>
              <w:pStyle w:val="Normal"/>
              <w:widowControl w:val="false"/>
              <w:bidi w:val="0"/>
              <w:jc w:val="left"/>
              <w:rPr>
                <w:rFonts w:ascii="Arial" w:hAnsi="Arial"/>
                <w:sz w:val="22"/>
                <w:szCs w:val="22"/>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 les tableaux de synthèse, plan et notes explicatives envisagées</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 le modèle type du rapport d'intervention ;</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i w:val="false"/>
                <w:strike w:val="false"/>
                <w:dstrike w:val="false"/>
                <w:outline w:val="false"/>
                <w:shadow w:val="false"/>
                <w:color w:val="000000"/>
                <w:kern w:val="2"/>
                <w:sz w:val="22"/>
                <w:szCs w:val="22"/>
                <w:u w:val="none"/>
                <w:em w:val="none"/>
                <w:lang w:val="fr-FR" w:eastAsia="en-US" w:bidi="en-US"/>
              </w:rPr>
              <w:t>- Numéros de pages se rapportant exclusivement au présent sous-critère :</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Contenudetableau"/>
              <w:widowControl w:val="false"/>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b/>
                <w:i w:val="false"/>
                <w:iCs w:val="false"/>
                <w:color w:val="FFFFFF"/>
                <w:kern w:val="0"/>
                <w:sz w:val="22"/>
                <w:szCs w:val="22"/>
                <w:shd w:fill="auto" w:val="clear"/>
                <w:lang w:val="fr-FR" w:eastAsia="en-US" w:bidi="ar-SA"/>
              </w:rPr>
              <w:t>La facturation et l’admission des prestations 6 pts</w:t>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highlight w:val="none"/>
                <w:shd w:fill="729FCF" w:val="clear"/>
              </w:rPr>
            </w:pPr>
            <w:r>
              <w:rPr>
                <w:shd w:fill="729FCF" w:val="clear"/>
              </w:rPr>
            </w:r>
          </w:p>
          <w:p>
            <w:pPr>
              <w:pStyle w:val="Contenudetableau"/>
              <w:widowControl w:val="false"/>
              <w:jc w:val="left"/>
              <w:rPr>
                <w:rFonts w:ascii="Arial" w:hAnsi="Arial"/>
                <w:color w:val="000000"/>
                <w:sz w:val="22"/>
                <w:szCs w:val="22"/>
              </w:rPr>
            </w:pPr>
            <w:r>
              <w:rPr>
                <w:color w:val="000000"/>
                <w:sz w:val="22"/>
                <w:szCs w:val="22"/>
                <w:shd w:fill="729FCF" w:val="clear"/>
              </w:rPr>
              <w:t>1/</w:t>
            </w:r>
            <w:r>
              <w:rPr>
                <w:color w:val="000000"/>
                <w:sz w:val="22"/>
                <w:szCs w:val="22"/>
              </w:rPr>
              <w:t xml:space="preserve"> Indiquez l’organisation interne prévue et les référents avec notamment (2 pts) :</w:t>
            </w:r>
          </w:p>
          <w:p>
            <w:pPr>
              <w:pStyle w:val="Contenudetableau"/>
              <w:widowControl w:val="false"/>
              <w:jc w:val="left"/>
              <w:rPr>
                <w:rFonts w:ascii="Arial" w:hAnsi="Arial"/>
                <w:color w:val="000000"/>
                <w:sz w:val="22"/>
                <w:szCs w:val="22"/>
              </w:rPr>
            </w:pPr>
            <w:r>
              <w:rPr>
                <w:color w:val="000000"/>
                <w:sz w:val="22"/>
                <w:szCs w:val="22"/>
              </w:rPr>
              <w:t>- Une facture type respectant le cadre de facturation</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highlight w:val="none"/>
                <w:shd w:fill="729FCF" w:val="clear"/>
              </w:rPr>
            </w:pPr>
            <w:r>
              <w:rPr>
                <w:shd w:fill="729FCF" w:val="clear"/>
              </w:rPr>
            </w:r>
          </w:p>
          <w:p>
            <w:pPr>
              <w:pStyle w:val="Contenudetableau"/>
              <w:widowControl w:val="false"/>
              <w:jc w:val="left"/>
              <w:rPr>
                <w:rFonts w:ascii="Arial" w:hAnsi="Arial"/>
                <w:color w:val="000000"/>
                <w:sz w:val="22"/>
                <w:szCs w:val="22"/>
              </w:rPr>
            </w:pPr>
            <w:r>
              <w:rPr>
                <w:color w:val="000000"/>
                <w:sz w:val="22"/>
                <w:szCs w:val="22"/>
                <w:shd w:fill="729FCF" w:val="clear"/>
              </w:rPr>
              <w:t>2/</w:t>
            </w:r>
            <w:r>
              <w:rPr>
                <w:color w:val="000000"/>
                <w:sz w:val="22"/>
                <w:szCs w:val="22"/>
              </w:rPr>
              <w:t xml:space="preserve"> Précisez les modalités prévues pour faciliter le circuit de validation des attachements et l’admission des prestations avec la conduite d’opération (2 pts) :</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highlight w:val="none"/>
                <w:shd w:fill="729FCF" w:val="clear"/>
              </w:rPr>
            </w:pPr>
            <w:r>
              <w:rPr>
                <w:shd w:fill="729FCF" w:val="clear"/>
              </w:rPr>
            </w:r>
          </w:p>
          <w:p>
            <w:pPr>
              <w:pStyle w:val="Contenudetableau"/>
              <w:widowControl w:val="false"/>
              <w:jc w:val="left"/>
              <w:rPr>
                <w:rFonts w:ascii="Arial" w:hAnsi="Arial"/>
                <w:color w:val="000000"/>
                <w:sz w:val="22"/>
                <w:szCs w:val="22"/>
              </w:rPr>
            </w:pPr>
            <w:r>
              <w:rPr>
                <w:color w:val="000000"/>
                <w:sz w:val="22"/>
                <w:szCs w:val="22"/>
                <w:shd w:fill="729FCF" w:val="clear"/>
              </w:rPr>
              <w:t>3/</w:t>
            </w:r>
            <w:r>
              <w:rPr>
                <w:color w:val="000000"/>
                <w:sz w:val="22"/>
                <w:szCs w:val="22"/>
              </w:rPr>
              <w:t xml:space="preserve"> Précisez l’organisation prévue pour répondre à une sollicitation du MOA (2 pts) :</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Contenudetableau"/>
              <w:widowControl w:val="false"/>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b/>
                <w:i w:val="false"/>
                <w:iCs w:val="false"/>
                <w:color w:val="FFFFFF"/>
                <w:kern w:val="0"/>
                <w:sz w:val="22"/>
                <w:szCs w:val="22"/>
                <w:shd w:fill="auto" w:val="clear"/>
                <w:lang w:val="fr-FR" w:eastAsia="en-US" w:bidi="ar-SA"/>
              </w:rPr>
              <w:t>Les moyens en personnel, le suivi du contrat et la coordination avec la conduite d’opération 8 pts</w:t>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shd w:fill="729FCF" w:val="clear"/>
              </w:rPr>
              <w:t>1/</w:t>
            </w:r>
            <w:r>
              <w:rPr>
                <w:color w:val="000000"/>
                <w:sz w:val="22"/>
                <w:szCs w:val="22"/>
              </w:rPr>
              <w:t xml:space="preserve"> Indiquez la liste des intervenants, leurs qualifications et rôles (4 pts).</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shd w:fill="729FCF" w:val="clear"/>
              </w:rPr>
              <w:t>2/</w:t>
            </w:r>
            <w:r>
              <w:rPr>
                <w:color w:val="000000"/>
                <w:sz w:val="22"/>
                <w:szCs w:val="22"/>
              </w:rPr>
              <w:t xml:space="preserve"> Détaillez l’organisation prévue pour assurer la relation avec la conduite d’opération (4 pts) :</w:t>
              <w:br/>
              <w:t>- pour le suivi du contrat ;</w:t>
              <w:br/>
              <w:t>- à réception d’une commande ;</w:t>
              <w:br/>
              <w:t>- en cours d’exécution ;</w:t>
              <w:br/>
              <w:t>- pour l’admission des prestations ;</w:t>
              <w:br/>
              <w:t>- l'amélioration des performances.</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color w:val="000000"/>
                <w:sz w:val="22"/>
                <w:szCs w:val="22"/>
              </w:rPr>
            </w:pPr>
            <w:r>
              <w:rPr>
                <w:rFonts w:eastAsia="Calibri" w:cs="Calibri"/>
                <w:bCs/>
                <w:color w:val="000000"/>
                <w:kern w:val="2"/>
                <w:sz w:val="22"/>
                <w:szCs w:val="22"/>
                <w:lang w:val="fr-FR" w:eastAsia="en-US" w:bidi="en-US"/>
              </w:rPr>
              <w:t>- Numéros de pages se rapportant exclusivement au présent sous-critère :</w:t>
            </w:r>
          </w:p>
        </w:tc>
      </w:tr>
    </w:tbl>
    <w:p>
      <w:pPr>
        <w:pStyle w:val="Normal"/>
        <w:rPr>
          <w:rFonts w:ascii="Arial" w:hAnsi="Arial"/>
          <w:color w:val="000000"/>
        </w:rPr>
      </w:pPr>
      <w:r>
        <w:rPr>
          <w:color w:val="000000"/>
        </w:rPr>
      </w:r>
    </w:p>
    <w:tbl>
      <w:tblPr>
        <w:tblW w:w="8729" w:type="dxa"/>
        <w:jc w:val="left"/>
        <w:tblInd w:w="130" w:type="dxa"/>
        <w:tblLayout w:type="fixed"/>
        <w:tblCellMar>
          <w:top w:w="0" w:type="dxa"/>
          <w:left w:w="70" w:type="dxa"/>
          <w:bottom w:w="0" w:type="dxa"/>
          <w:right w:w="70" w:type="dxa"/>
        </w:tblCellMar>
        <w:tblLook w:firstRow="1" w:noVBand="1" w:lastRow="0" w:firstColumn="1" w:lastColumn="0" w:noHBand="0" w:val="04a0"/>
      </w:tblPr>
      <w:tblGrid>
        <w:gridCol w:w="8729"/>
      </w:tblGrid>
      <w:tr>
        <w:trPr>
          <w:trHeight w:val="416"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Default"/>
              <w:widowControl w:val="false"/>
              <w:ind w:hanging="0"/>
              <w:jc w:val="center"/>
              <w:rPr>
                <w:rFonts w:ascii="Arial" w:hAnsi="Arial"/>
                <w:b/>
                <w:b/>
                <w:color w:val="FFFFFF"/>
              </w:rPr>
            </w:pPr>
            <w:r>
              <w:rPr>
                <w:rFonts w:cs="Arial" w:ascii="Arial" w:hAnsi="Arial"/>
                <w:b/>
                <w:color w:val="FFFFFF"/>
                <w:sz w:val="22"/>
                <w:szCs w:val="22"/>
              </w:rPr>
              <w:t>Porté à connaissance</w:t>
            </w:r>
          </w:p>
        </w:tc>
      </w:tr>
      <w:tr>
        <w:trPr>
          <w:trHeight w:val="885" w:hRule="atLeast"/>
        </w:trPr>
        <w:tc>
          <w:tcPr>
            <w:tcW w:w="87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uppressAutoHyphens w:val="true"/>
              <w:ind w:left="0" w:hanging="0"/>
              <w:jc w:val="both"/>
              <w:rPr>
                <w:rFonts w:ascii="Arial" w:hAnsi="Arial"/>
                <w:color w:val="000000"/>
              </w:rPr>
            </w:pPr>
            <w:r>
              <w:rPr>
                <w:color w:val="000000"/>
              </w:rPr>
            </w:r>
          </w:p>
          <w:p>
            <w:pPr>
              <w:pStyle w:val="Normal"/>
              <w:widowControl w:val="false"/>
              <w:numPr>
                <w:ilvl w:val="0"/>
                <w:numId w:val="0"/>
              </w:numPr>
              <w:suppressAutoHyphens w:val="true"/>
              <w:ind w:left="0" w:hanging="0"/>
              <w:jc w:val="both"/>
              <w:rPr>
                <w:rFonts w:ascii="Arial" w:hAnsi="Arial"/>
                <w:color w:val="000000"/>
              </w:rPr>
            </w:pPr>
            <w:r>
              <w:rPr>
                <w:color w:val="000000"/>
              </w:rPr>
              <w:t>Informations supplémentaires que le titulaire souhaite porter à connaissance de l’acheteur :</w:t>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tc>
      </w:tr>
    </w:tbl>
    <w:p>
      <w:pPr>
        <w:pStyle w:val="Normal"/>
        <w:spacing w:before="0" w:after="200"/>
        <w:jc w:val="both"/>
        <w:rPr>
          <w:rStyle w:val="SoustitreCar"/>
          <w:rFonts w:ascii="Arial" w:hAnsi="Arial" w:eastAsia="" w:eastAsiaTheme="majorEastAsia"/>
          <w:b/>
          <w:b/>
          <w:color w:val="000000"/>
          <w:sz w:val="24"/>
          <w:szCs w:val="32"/>
        </w:rPr>
      </w:pPr>
      <w:r>
        <w:rPr/>
      </w:r>
    </w:p>
    <w:sectPr>
      <w:footerReference w:type="default" r:id="rId3"/>
      <w:type w:val="nextPage"/>
      <w:pgSz w:w="11906" w:h="16838"/>
      <w:pgMar w:left="1418" w:right="1416" w:gutter="0" w:header="0"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Arial">
    <w:charset w:val="01"/>
    <w:family w:val="swiss"/>
    <w:pitch w:val="default"/>
  </w:font>
  <w:font w:name="Univers (W1)">
    <w:charset w:val="01"/>
    <w:family w:val="swiss"/>
    <w:pitch w:val="default"/>
  </w:font>
  <w:font w:name="Tahoma">
    <w:charset w:val="01"/>
    <w:family w:val="swiss"/>
    <w:pitch w:val="default"/>
  </w:font>
  <w:font w:name="Garamond">
    <w:charset w:val="01"/>
    <w:family w:val="swiss"/>
    <w:pitch w:val="default"/>
  </w:font>
  <w:font w:name="Times New Roman">
    <w:charset w:val="01"/>
    <w:family w:val="swiss"/>
    <w:pitch w:val="default"/>
  </w:font>
  <w:font w:name="Liberation Sans">
    <w:altName w:val="Arial"/>
    <w:charset w:val="01"/>
    <w:family w:val="swiss"/>
    <w:pitch w:val="default"/>
  </w:font>
  <w:font w:name="Verdana">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depage"/>
      <w:jc w:val="right"/>
      <w:rPr/>
    </w:pPr>
    <w:r>
      <w:rPr/>
      <w:t>2025009 – Mémoire cadre de réponse Lot 6</w:t>
      <w:tab/>
    </w:r>
    <w:r>
      <w:rPr>
        <w:b/>
      </w:rPr>
      <w:fldChar w:fldCharType="begin"/>
    </w:r>
    <w:r>
      <w:rPr>
        <w:b/>
      </w:rPr>
      <w:instrText> PAGE </w:instrText>
    </w:r>
    <w:r>
      <w:rPr>
        <w:b/>
      </w:rPr>
      <w:fldChar w:fldCharType="separate"/>
    </w:r>
    <w:r>
      <w:rPr>
        <w:b/>
      </w:rPr>
      <w:t>5</w:t>
    </w:r>
    <w:r>
      <w:rPr>
        <w:b/>
      </w:rPr>
      <w:fldChar w:fldCharType="end"/>
    </w:r>
    <w:r>
      <w:rPr/>
      <w:t xml:space="preserve"> sur </w:t>
    </w:r>
    <w:r>
      <w:rPr>
        <w:b/>
      </w:rPr>
      <w:fldChar w:fldCharType="begin"/>
    </w:r>
    <w:r>
      <w:rPr>
        <w:b/>
      </w:rPr>
      <w:instrText> NUMPAGES </w:instrText>
    </w:r>
    <w:r>
      <w:rPr>
        <w:b/>
      </w:rPr>
      <w:fldChar w:fldCharType="separate"/>
    </w:r>
    <w:r>
      <w:rPr>
        <w:b/>
      </w:rPr>
      <w:t>5</w:t>
    </w:r>
    <w:r>
      <w:rPr>
        <w:b/>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Titre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b69d6"/>
    <w:pPr>
      <w:widowControl/>
      <w:suppressAutoHyphens w:val="true"/>
      <w:bidi w:val="0"/>
      <w:spacing w:lineRule="auto" w:line="240" w:before="0" w:after="0"/>
      <w:jc w:val="left"/>
    </w:pPr>
    <w:rPr>
      <w:rFonts w:ascii="Arial" w:hAnsi="Arial" w:eastAsia="Times New Roman" w:cs="Times New Roman"/>
      <w:color w:val="auto"/>
      <w:kern w:val="0"/>
      <w:sz w:val="20"/>
      <w:szCs w:val="20"/>
      <w:lang w:val="fr-FR" w:eastAsia="fr-FR" w:bidi="ar-SA"/>
    </w:rPr>
  </w:style>
  <w:style w:type="paragraph" w:styleId="Titre1">
    <w:name w:val="Heading 1"/>
    <w:basedOn w:val="Titreprincipal"/>
    <w:next w:val="Normal"/>
    <w:qFormat/>
    <w:pPr>
      <w:numPr>
        <w:ilvl w:val="0"/>
        <w:numId w:val="1"/>
      </w:numPr>
      <w:pBdr>
        <w:bottom w:val="single" w:sz="4" w:space="1" w:color="12A9D9"/>
      </w:pBdr>
      <w:outlineLvl w:val="0"/>
    </w:pPr>
    <w:rPr>
      <w:rFonts w:eastAsia="Times New Roman"/>
      <w:color w:val="12A9D9" w:themeColor="accent1"/>
      <w:sz w:val="32"/>
      <w:szCs w:val="32"/>
    </w:rPr>
  </w:style>
  <w:style w:type="paragraph" w:styleId="Titre2">
    <w:name w:val="Heading 2"/>
    <w:basedOn w:val="Normal"/>
    <w:next w:val="Normal"/>
    <w:link w:val="Titre2Car"/>
    <w:qFormat/>
    <w:rsid w:val="00ec6638"/>
    <w:pPr>
      <w:spacing w:before="120" w:after="0"/>
      <w:outlineLvl w:val="1"/>
    </w:pPr>
    <w:rPr>
      <w:rFonts w:ascii="Univers (W1)" w:hAnsi="Univers (W1)"/>
      <w:b/>
      <w:bCs/>
      <w:sz w:val="24"/>
      <w:szCs w:val="24"/>
    </w:rPr>
  </w:style>
  <w:style w:type="character" w:styleId="DefaultParagraphFont" w:default="1">
    <w:name w:val="Default Paragraph Font"/>
    <w:uiPriority w:val="1"/>
    <w:semiHidden/>
    <w:unhideWhenUsed/>
    <w:qFormat/>
    <w:rPr/>
  </w:style>
  <w:style w:type="character" w:styleId="EntteCar" w:customStyle="1">
    <w:name w:val="En-tête Car"/>
    <w:basedOn w:val="DefaultParagraphFont"/>
    <w:link w:val="En-tte"/>
    <w:uiPriority w:val="99"/>
    <w:qFormat/>
    <w:rsid w:val="00693be2"/>
    <w:rPr>
      <w:rFonts w:ascii="Arial" w:hAnsi="Arial" w:eastAsia="Times New Roman" w:cs="Times New Roman"/>
      <w:sz w:val="20"/>
      <w:szCs w:val="20"/>
      <w:lang w:eastAsia="fr-FR"/>
    </w:rPr>
  </w:style>
  <w:style w:type="character" w:styleId="PieddepageCar" w:customStyle="1">
    <w:name w:val="Pied de page Car"/>
    <w:basedOn w:val="DefaultParagraphFont"/>
    <w:link w:val="Pieddepage"/>
    <w:uiPriority w:val="99"/>
    <w:qFormat/>
    <w:rsid w:val="00693be2"/>
    <w:rPr>
      <w:rFonts w:ascii="Arial" w:hAnsi="Arial" w:eastAsia="Times New Roman" w:cs="Times New Roman"/>
      <w:sz w:val="20"/>
      <w:szCs w:val="20"/>
      <w:lang w:eastAsia="fr-FR"/>
    </w:rPr>
  </w:style>
  <w:style w:type="character" w:styleId="TextedebullesCar" w:customStyle="1">
    <w:name w:val="Texte de bulles Car"/>
    <w:basedOn w:val="DefaultParagraphFont"/>
    <w:link w:val="Textedebulles"/>
    <w:uiPriority w:val="99"/>
    <w:semiHidden/>
    <w:qFormat/>
    <w:rsid w:val="0023767e"/>
    <w:rPr>
      <w:rFonts w:ascii="Tahoma" w:hAnsi="Tahoma" w:eastAsia="Times New Roman" w:cs="Tahoma"/>
      <w:sz w:val="16"/>
      <w:szCs w:val="16"/>
      <w:lang w:eastAsia="fr-FR"/>
    </w:rPr>
  </w:style>
  <w:style w:type="character" w:styleId="Titre2Car" w:customStyle="1">
    <w:name w:val="Titre 2 Car"/>
    <w:basedOn w:val="DefaultParagraphFont"/>
    <w:link w:val="Titre2"/>
    <w:qFormat/>
    <w:rsid w:val="00ec6638"/>
    <w:rPr>
      <w:rFonts w:ascii="Univers (W1)" w:hAnsi="Univers (W1)" w:eastAsia="Times New Roman" w:cs="Times New Roman"/>
      <w:b/>
      <w:bCs/>
      <w:sz w:val="24"/>
      <w:szCs w:val="24"/>
      <w:lang w:eastAsia="fr-FR"/>
    </w:rPr>
  </w:style>
  <w:style w:type="character" w:styleId="Annotationreference">
    <w:name w:val="annotation reference"/>
    <w:semiHidden/>
    <w:qFormat/>
    <w:rsid w:val="00ec6638"/>
    <w:rPr>
      <w:sz w:val="16"/>
      <w:szCs w:val="16"/>
    </w:rPr>
  </w:style>
  <w:style w:type="character" w:styleId="CommentaireCar" w:customStyle="1">
    <w:name w:val="Commentaire Car"/>
    <w:basedOn w:val="DefaultParagraphFont"/>
    <w:link w:val="Commentaire"/>
    <w:semiHidden/>
    <w:qFormat/>
    <w:rsid w:val="00ec6638"/>
    <w:rPr>
      <w:rFonts w:ascii="Garamond" w:hAnsi="Garamond" w:eastAsia="Times New Roman" w:cs="Times New Roman"/>
      <w:sz w:val="20"/>
      <w:szCs w:val="20"/>
      <w:lang w:eastAsia="fr-FR"/>
    </w:rPr>
  </w:style>
  <w:style w:type="character" w:styleId="Normal1Car" w:customStyle="1">
    <w:name w:val="Normal1 Car"/>
    <w:link w:val="Normal1"/>
    <w:uiPriority w:val="99"/>
    <w:qFormat/>
    <w:rsid w:val="006f7fcc"/>
    <w:rPr>
      <w:rFonts w:ascii="Times New Roman" w:hAnsi="Times New Roman" w:eastAsia="Times New Roman" w:cs="Times New Roman"/>
      <w:szCs w:val="24"/>
      <w:lang w:eastAsia="fr-FR"/>
    </w:rPr>
  </w:style>
  <w:style w:type="character" w:styleId="ObjetducommentaireCar" w:customStyle="1">
    <w:name w:val="Objet du commentaire Car"/>
    <w:basedOn w:val="CommentaireCar"/>
    <w:link w:val="Objetducommentaire"/>
    <w:qFormat/>
    <w:rsid w:val="00411d2e"/>
    <w:rPr>
      <w:rFonts w:ascii="Arial" w:hAnsi="Arial" w:eastAsia="Times New Roman" w:cs="Times New Roman"/>
      <w:b/>
      <w:bCs/>
      <w:sz w:val="20"/>
      <w:szCs w:val="20"/>
      <w:lang w:eastAsia="fr-FR"/>
    </w:rPr>
  </w:style>
  <w:style w:type="character" w:styleId="SoustitreCar">
    <w:name w:val="Sous-titre Car"/>
    <w:basedOn w:val="DefaultParagraphFont"/>
    <w:qFormat/>
    <w:rPr>
      <w:rFonts w:eastAsia="" w:eastAsiaTheme="minorEastAsia"/>
      <w:color w:val="00AC9C" w:themeColor="text2"/>
      <w:sz w:val="22"/>
      <w:szCs w:val="22"/>
    </w:rPr>
  </w:style>
  <w:style w:type="paragraph" w:styleId="Titre">
    <w:name w:val="Titre"/>
    <w:basedOn w:val="Normal"/>
    <w:next w:val="Corpsdetexte"/>
    <w:qFormat/>
    <w:pPr>
      <w:keepNext w:val="true"/>
      <w:spacing w:before="240" w:after="120"/>
    </w:pPr>
    <w:rPr>
      <w:rFonts w:ascii="Liberation Sans" w:hAnsi="Liberation Sans" w:eastAsia="Microsoft YaHei" w:cs="Mangal"/>
      <w:sz w:val="28"/>
      <w:szCs w:val="28"/>
    </w:rPr>
  </w:style>
  <w:style w:type="paragraph" w:styleId="Corpsdetexte">
    <w:name w:val="Body Text"/>
    <w:basedOn w:val="Normal"/>
    <w:pPr>
      <w:spacing w:lineRule="auto" w:line="276" w:before="0" w:after="140"/>
    </w:pPr>
    <w:rPr/>
  </w:style>
  <w:style w:type="paragraph" w:styleId="Liste">
    <w:name w:val="List"/>
    <w:basedOn w:val="Corpsdetexte"/>
    <w:pPr/>
    <w:rPr>
      <w:rFonts w:ascii="Liberation Sans" w:hAnsi="Liberation Sans" w:cs="Mangal"/>
    </w:rPr>
  </w:style>
  <w:style w:type="paragraph" w:styleId="Lgende">
    <w:name w:val="Caption"/>
    <w:basedOn w:val="Normal"/>
    <w:qFormat/>
    <w:pPr>
      <w:suppressLineNumbers/>
      <w:spacing w:before="120" w:after="120"/>
    </w:pPr>
    <w:rPr>
      <w:rFonts w:ascii="Liberation Sans" w:hAnsi="Liberation Sans" w:cs="Mangal"/>
      <w:i/>
      <w:iCs/>
      <w:sz w:val="24"/>
      <w:szCs w:val="24"/>
    </w:rPr>
  </w:style>
  <w:style w:type="paragraph" w:styleId="Index">
    <w:name w:val="Index"/>
    <w:basedOn w:val="Normal"/>
    <w:qFormat/>
    <w:pPr>
      <w:suppressLineNumbers/>
    </w:pPr>
    <w:rPr>
      <w:rFonts w:ascii="Liberation Sans" w:hAnsi="Liberation Sans" w:cs="Mangal"/>
      <w:lang w:val="zxx" w:eastAsia="zxx" w:bidi="zxx"/>
    </w:rPr>
  </w:style>
  <w:style w:type="paragraph" w:styleId="Titreprincipal">
    <w:name w:val="Title"/>
    <w:basedOn w:val="Normal"/>
    <w:next w:val="Normal"/>
    <w:qFormat/>
    <w:pPr>
      <w:spacing w:before="0" w:after="0"/>
      <w:contextualSpacing/>
    </w:pPr>
    <w:rPr>
      <w:rFonts w:eastAsia="" w:cs="" w:cstheme="majorBidi" w:eastAsiaTheme="majorEastAsia"/>
      <w:spacing w:val="-10"/>
      <w:kern w:val="2"/>
      <w:sz w:val="56"/>
      <w:szCs w:val="56"/>
    </w:rPr>
  </w:style>
  <w:style w:type="paragraph" w:styleId="Entteetpieddepage">
    <w:name w:val="En-tête et pied de page"/>
    <w:basedOn w:val="Normal"/>
    <w:qFormat/>
    <w:pPr/>
    <w:rPr/>
  </w:style>
  <w:style w:type="paragraph" w:styleId="Entte">
    <w:name w:val="Header"/>
    <w:basedOn w:val="Normal"/>
    <w:link w:val="En-tteCar"/>
    <w:uiPriority w:val="99"/>
    <w:unhideWhenUsed/>
    <w:rsid w:val="00693be2"/>
    <w:pPr>
      <w:tabs>
        <w:tab w:val="clear" w:pos="709"/>
        <w:tab w:val="center" w:pos="4536" w:leader="none"/>
        <w:tab w:val="right" w:pos="9072" w:leader="none"/>
      </w:tabs>
    </w:pPr>
    <w:rPr/>
  </w:style>
  <w:style w:type="paragraph" w:styleId="Pieddepage">
    <w:name w:val="Footer"/>
    <w:basedOn w:val="Normal"/>
    <w:link w:val="PieddepageCar"/>
    <w:uiPriority w:val="99"/>
    <w:unhideWhenUsed/>
    <w:rsid w:val="00693be2"/>
    <w:pPr>
      <w:tabs>
        <w:tab w:val="clear" w:pos="709"/>
        <w:tab w:val="center" w:pos="4536" w:leader="none"/>
        <w:tab w:val="right" w:pos="9072" w:leader="none"/>
      </w:tabs>
    </w:pPr>
    <w:rPr/>
  </w:style>
  <w:style w:type="paragraph" w:styleId="ListParagraph">
    <w:name w:val="List Paragraph"/>
    <w:basedOn w:val="Normal"/>
    <w:uiPriority w:val="99"/>
    <w:qFormat/>
    <w:rsid w:val="009e1ec3"/>
    <w:pPr>
      <w:spacing w:before="0" w:after="0"/>
      <w:ind w:left="720" w:hanging="0"/>
      <w:contextualSpacing/>
    </w:pPr>
    <w:rPr/>
  </w:style>
  <w:style w:type="paragraph" w:styleId="BalloonText">
    <w:name w:val="Balloon Text"/>
    <w:basedOn w:val="Normal"/>
    <w:link w:val="TextedebullesCar"/>
    <w:uiPriority w:val="99"/>
    <w:semiHidden/>
    <w:unhideWhenUsed/>
    <w:qFormat/>
    <w:rsid w:val="0023767e"/>
    <w:pPr/>
    <w:rPr>
      <w:rFonts w:ascii="Tahoma" w:hAnsi="Tahoma" w:cs="Tahoma"/>
      <w:sz w:val="16"/>
      <w:szCs w:val="16"/>
    </w:rPr>
  </w:style>
  <w:style w:type="paragraph" w:styleId="Car" w:customStyle="1">
    <w:name w:val="Car"/>
    <w:basedOn w:val="Normal"/>
    <w:qFormat/>
    <w:rsid w:val="00ec6638"/>
    <w:pPr>
      <w:spacing w:lineRule="exact" w:line="240" w:before="0" w:after="160"/>
    </w:pPr>
    <w:rPr>
      <w:rFonts w:ascii="Verdana" w:hAnsi="Verdana"/>
      <w:lang w:val="en-US" w:eastAsia="en-US"/>
    </w:rPr>
  </w:style>
  <w:style w:type="paragraph" w:styleId="Annotationtext">
    <w:name w:val="annotation text"/>
    <w:basedOn w:val="Normal"/>
    <w:link w:val="CommentaireCar"/>
    <w:semiHidden/>
    <w:qFormat/>
    <w:rsid w:val="00ec6638"/>
    <w:pPr/>
    <w:rPr>
      <w:rFonts w:ascii="Garamond" w:hAnsi="Garamond"/>
    </w:rPr>
  </w:style>
  <w:style w:type="paragraph" w:styleId="RdaliaTitredossier" w:customStyle="1">
    <w:name w:val="Rédalia : Titre dossier"/>
    <w:basedOn w:val="Normal"/>
    <w:qFormat/>
    <w:rsid w:val="004b69d6"/>
    <w:pPr>
      <w:jc w:val="center"/>
    </w:pPr>
    <w:rPr>
      <w:rFonts w:ascii="Verdana" w:hAnsi="Verdana"/>
      <w:sz w:val="48"/>
    </w:rPr>
  </w:style>
  <w:style w:type="paragraph" w:styleId="Normal1" w:customStyle="1">
    <w:name w:val="Normal1"/>
    <w:basedOn w:val="Normal"/>
    <w:link w:val="Normal1Car"/>
    <w:uiPriority w:val="99"/>
    <w:qFormat/>
    <w:rsid w:val="006f7fcc"/>
    <w:pPr>
      <w:keepLines/>
      <w:tabs>
        <w:tab w:val="clear" w:pos="709"/>
        <w:tab w:val="left" w:pos="284" w:leader="none"/>
        <w:tab w:val="left" w:pos="567" w:leader="none"/>
        <w:tab w:val="left" w:pos="851" w:leader="none"/>
      </w:tabs>
      <w:ind w:firstLine="284"/>
      <w:jc w:val="both"/>
    </w:pPr>
    <w:rPr>
      <w:rFonts w:ascii="Times New Roman" w:hAnsi="Times New Roman"/>
      <w:sz w:val="22"/>
      <w:szCs w:val="24"/>
    </w:rPr>
  </w:style>
  <w:style w:type="paragraph" w:styleId="Annotationsubject">
    <w:name w:val="annotation subject"/>
    <w:basedOn w:val="Annotationtext"/>
    <w:next w:val="Annotationtext"/>
    <w:link w:val="ObjetducommentaireCar"/>
    <w:uiPriority w:val="99"/>
    <w:semiHidden/>
    <w:unhideWhenUsed/>
    <w:qFormat/>
    <w:rsid w:val="00411d2e"/>
    <w:pPr/>
    <w:rPr>
      <w:rFonts w:ascii="Arial" w:hAnsi="Arial"/>
      <w:b/>
      <w:bCs/>
    </w:rPr>
  </w:style>
  <w:style w:type="paragraph" w:styleId="NoSpacing">
    <w:name w:val="No Spacing"/>
    <w:uiPriority w:val="1"/>
    <w:qFormat/>
    <w:rsid w:val="0059292f"/>
    <w:pPr>
      <w:widowControl/>
      <w:suppressAutoHyphens w:val="true"/>
      <w:bidi w:val="0"/>
      <w:spacing w:lineRule="auto" w:line="240" w:before="0" w:after="0"/>
      <w:jc w:val="left"/>
    </w:pPr>
    <w:rPr>
      <w:rFonts w:ascii="Arial" w:hAnsi="Arial" w:eastAsia="Times New Roman" w:cs="Times New Roman"/>
      <w:color w:val="auto"/>
      <w:kern w:val="0"/>
      <w:sz w:val="20"/>
      <w:szCs w:val="20"/>
      <w:lang w:val="fr-FR" w:eastAsia="fr-FR" w:bidi="ar-SA"/>
    </w:rPr>
  </w:style>
  <w:style w:type="paragraph" w:styleId="Normal2" w:customStyle="1">
    <w:name w:val="Normal2"/>
    <w:basedOn w:val="Normal"/>
    <w:qFormat/>
    <w:rsid w:val="00b63a6c"/>
    <w:pPr>
      <w:keepLines/>
      <w:tabs>
        <w:tab w:val="clear" w:pos="709"/>
        <w:tab w:val="left" w:pos="567" w:leader="none"/>
        <w:tab w:val="left" w:pos="851" w:leader="none"/>
        <w:tab w:val="left" w:pos="1134" w:leader="none"/>
      </w:tabs>
      <w:suppressAutoHyphens w:val="true"/>
      <w:spacing w:lineRule="atLeast" w:line="100"/>
      <w:ind w:left="284" w:firstLine="284"/>
      <w:jc w:val="both"/>
    </w:pPr>
    <w:rPr>
      <w:rFonts w:ascii="Times New Roman" w:hAnsi="Times New Roman"/>
      <w:sz w:val="22"/>
      <w:lang w:eastAsia="ar-SA"/>
    </w:rPr>
  </w:style>
  <w:style w:type="paragraph" w:styleId="Default">
    <w:name w:val="Default"/>
    <w:qFormat/>
    <w:pPr>
      <w:widowControl/>
      <w:suppressAutoHyphens w:val="true"/>
      <w:bidi w:val="0"/>
      <w:spacing w:before="0" w:after="0"/>
      <w:jc w:val="left"/>
    </w:pPr>
    <w:rPr>
      <w:rFonts w:ascii="Calibri" w:hAnsi="Calibri" w:eastAsia="Calibri" w:cs=""/>
      <w:color w:val="000000"/>
      <w:kern w:val="0"/>
      <w:sz w:val="24"/>
      <w:szCs w:val="22"/>
      <w:lang w:val="fr-FR" w:eastAsia="en-US" w:bidi="ar-SA"/>
    </w:rPr>
  </w:style>
  <w:style w:type="paragraph" w:styleId="Standard">
    <w:name w:val="Standard"/>
    <w:qFormat/>
    <w:pPr>
      <w:widowControl w:val="false"/>
      <w:suppressAutoHyphens w:val="true"/>
      <w:bidi w:val="0"/>
      <w:spacing w:before="0" w:after="0"/>
      <w:jc w:val="left"/>
      <w:textAlignment w:val="baseline"/>
    </w:pPr>
    <w:rPr>
      <w:rFonts w:ascii="Calibri" w:hAnsi="Calibri" w:eastAsia="Calibri" w:cs="Calibri" w:asciiTheme="minorHAnsi" w:eastAsiaTheme="minorHAnsi" w:hAnsiTheme="minorHAnsi"/>
      <w:color w:val="auto"/>
      <w:kern w:val="2"/>
      <w:sz w:val="22"/>
      <w:szCs w:val="24"/>
      <w:lang w:val="en-US" w:eastAsia="en-US" w:bidi="en-US"/>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4b69d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077B1-62CE-4849-BDD9-1DF5721D5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4644</TotalTime>
  <Application>LibreOffice/7.2.6.2$Windows_X86_64 LibreOffice_project/b0ec3a565991f7569a5a7f5d24fed7f52653d754</Application>
  <AppVersion>15.0000</AppVersion>
  <Pages>5</Pages>
  <Words>937</Words>
  <Characters>5078</Characters>
  <CharactersWithSpaces>5934</CharactersWithSpaces>
  <Paragraphs>89</Paragraphs>
  <Company>CA - TPM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Marilyne MM. Morin</dc:creator>
  <dc:description/>
  <dc:language>fr-FR</dc:language>
  <cp:lastModifiedBy/>
  <dcterms:modified xsi:type="dcterms:W3CDTF">2025-02-21T07:51:06Z</dcterms:modified>
  <cp:revision>100</cp:revision>
  <dc:subject/>
  <dc:title>RTF Template</dc:title>
</cp:coreProperties>
</file>

<file path=docProps/custom.xml><?xml version="1.0" encoding="utf-8"?>
<Properties xmlns="http://schemas.openxmlformats.org/officeDocument/2006/custom-properties" xmlns:vt="http://schemas.openxmlformats.org/officeDocument/2006/docPropsVTypes"/>
</file>